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6B1779A" w:rsidR="00D6147A" w:rsidRDefault="00DE7FC6" w:rsidP="00DE7FC6">
      <w:hyperlink r:id="rId6" w:history="1">
        <w:r w:rsidRPr="009F5C8E">
          <w:rPr>
            <w:rStyle w:val="Collegamentoipertestuale"/>
          </w:rPr>
          <w:t>https://www.ansa.it/sito/notizie/economia/2025/02/16/massimo-mocio-confermato-presidente-di-assiom-forex_364fb8c4-4b38-4ad4-bd08-833eda83ec93.html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D74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E7FC6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sa.it/sito/notizie/economia/2025/02/16/massimo-mocio-confermato-presidente-di-assiom-forex_364fb8c4-4b38-4ad4-bd08-833eda83ec9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2025-02-18T08:32:00Z</dcterms:created>
  <dcterms:modified xsi:type="dcterms:W3CDTF">2025-02-18T08:54:00Z</dcterms:modified>
</cp:coreProperties>
</file>